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left"/>
        <w:rPr>
          <w:rFonts w:hint="eastAsia" w:ascii="方正小标宋简体" w:eastAsia="方正小标宋简体"/>
          <w:color w:val="FF0000"/>
          <w:w w:val="78"/>
          <w:sz w:val="96"/>
          <w:szCs w:val="96"/>
        </w:rPr>
      </w:pPr>
    </w:p>
    <w:p>
      <w:pPr>
        <w:spacing w:line="1200" w:lineRule="exact"/>
        <w:jc w:val="left"/>
        <w:rPr>
          <w:rFonts w:ascii="方正小标宋简体" w:eastAsia="方正小标宋简体"/>
          <w:color w:val="FF0000"/>
          <w:w w:val="78"/>
          <w:sz w:val="96"/>
          <w:szCs w:val="96"/>
        </w:rPr>
      </w:pPr>
      <w:r>
        <w:rPr>
          <w:rFonts w:hint="eastAsia" w:ascii="方正小标宋简体" w:eastAsia="方正小标宋简体"/>
          <w:color w:val="FF0000"/>
          <w:w w:val="78"/>
          <w:sz w:val="96"/>
          <w:szCs w:val="96"/>
        </w:rPr>
        <w:t>北京国实检测技术研究院</w:t>
      </w:r>
    </w:p>
    <w:p>
      <w:pPr>
        <w:spacing w:line="360" w:lineRule="auto"/>
        <w:jc w:val="center"/>
        <w:rPr>
          <w:rFonts w:ascii="方正仿宋简体" w:hAnsi="仿宋" w:eastAsia="方正仿宋简体" w:cs="仿宋_GB2312"/>
          <w:bCs/>
          <w:sz w:val="32"/>
          <w:szCs w:val="32"/>
          <w:lang w:val="ru-RU"/>
        </w:rPr>
      </w:pPr>
      <w:r>
        <w:rPr>
          <w:rFonts w:hint="eastAsia" w:ascii="方正仿宋简体" w:hAnsi="仿宋" w:eastAsia="方正仿宋简体" w:cs="仿宋_GB2312"/>
          <w:bCs/>
          <w:sz w:val="32"/>
          <w:szCs w:val="32"/>
          <w:lang w:val="ru-RU"/>
        </w:rPr>
        <w:t>国实办〔2020〕</w:t>
      </w:r>
      <w:r>
        <w:rPr>
          <w:rFonts w:hint="eastAsia" w:ascii="方正仿宋简体" w:hAnsi="仿宋" w:eastAsia="方正仿宋简体" w:cs="仿宋_GB2312"/>
          <w:bCs/>
          <w:sz w:val="32"/>
          <w:szCs w:val="32"/>
        </w:rPr>
        <w:t xml:space="preserve">151 </w:t>
      </w:r>
      <w:r>
        <w:rPr>
          <w:rFonts w:hint="eastAsia" w:ascii="方正仿宋简体" w:hAnsi="仿宋" w:eastAsia="方正仿宋简体" w:cs="仿宋_GB2312"/>
          <w:bCs/>
          <w:sz w:val="32"/>
          <w:szCs w:val="32"/>
          <w:lang w:val="ru-RU"/>
        </w:rPr>
        <w:t>号</w:t>
      </w:r>
    </w:p>
    <w:p>
      <w:pPr>
        <w:jc w:val="center"/>
        <w:rPr>
          <w:rFonts w:ascii="方正仿宋简体" w:eastAsia="方正仿宋简体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134620</wp:posOffset>
                </wp:positionV>
                <wp:extent cx="535305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29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10.6pt;height:0pt;width:421.5pt;z-index:251660288;mso-width-relative:page;mso-height-relative:page;" filled="f" stroked="t" coordsize="21600,21600" o:gfxdata="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9EoYtgAAAAIAQAADwAAAAAAAAABACAAAAAi&#10;AAAAZHJzL2Rvd25yZXYueG1sUEsBAhQAFAAAAAgAh07iQMtr4HTRAQAAawMAAA4AAAAAAAAAAQAg&#10;AAAAJw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color w:val="FF0000"/>
          <w:sz w:val="32"/>
          <w:szCs w:val="32"/>
        </w:rPr>
        <w:t xml:space="preserve">      </w:t>
      </w:r>
    </w:p>
    <w:p>
      <w:pPr>
        <w:widowControl/>
        <w:shd w:val="clear" w:color="auto" w:fill="FFFFFF"/>
        <w:spacing w:before="150" w:after="150" w:line="500" w:lineRule="exact"/>
        <w:jc w:val="center"/>
        <w:outlineLvl w:val="1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关于举办检验检测机构/实验室案例剖析系列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课程</w:t>
      </w:r>
      <w:r>
        <w:rPr>
          <w:rFonts w:hint="eastAsia" w:ascii="方正小标宋简体" w:eastAsia="方正小标宋简体"/>
          <w:w w:val="90"/>
          <w:sz w:val="44"/>
          <w:szCs w:val="44"/>
        </w:rPr>
        <w:t>之记录与报告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培训</w:t>
      </w:r>
      <w:r>
        <w:rPr>
          <w:rFonts w:hint="eastAsia" w:ascii="方正小标宋简体" w:eastAsia="方正小标宋简体"/>
          <w:w w:val="90"/>
          <w:sz w:val="44"/>
          <w:szCs w:val="44"/>
        </w:rPr>
        <w:t>班的通知</w:t>
      </w:r>
    </w:p>
    <w:p>
      <w:pPr>
        <w:spacing w:line="420" w:lineRule="exact"/>
        <w:rPr>
          <w:rFonts w:ascii="方正小标宋简体" w:eastAsia="方正小标宋简体"/>
          <w:w w:val="90"/>
          <w:szCs w:val="21"/>
        </w:rPr>
      </w:pPr>
    </w:p>
    <w:p>
      <w:pPr>
        <w:snapToGrid w:val="0"/>
        <w:spacing w:line="56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方正仿宋简体" w:hAnsi="黑体" w:eastAsia="方正仿宋简体" w:cs="宋体"/>
          <w:b/>
          <w:bCs/>
          <w:kern w:val="0"/>
          <w:sz w:val="32"/>
          <w:szCs w:val="32"/>
        </w:rPr>
        <w:t>各有关检验检测机构和实验室</w:t>
      </w:r>
      <w:r>
        <w:rPr>
          <w:rFonts w:hint="eastAsia" w:ascii="方正仿宋简体" w:hAnsi="黑体" w:eastAsia="方正仿宋简体" w:cs="宋体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依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据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2020年5月12日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市场监管总局、生态环境部、国家药监局印发的《关于2019年度国家级资质认定检验检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测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机构监督抽查情况的通告》(2020年第5号)，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进行的联合监督抽查中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被行政处理的国家级资质认定机构占比达到了43.3％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。中国合格评定国家认可委员会按照市场监管总局的部署，开展专项监督评审工作。在联合监督抽查和专项监督评审不符合案例中，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被检查机构的</w:t>
      </w:r>
      <w:r>
        <w:rPr>
          <w:rFonts w:ascii="Times New Roman" w:hAnsi="Times New Roman" w:eastAsia="仿宋_GB2312" w:cs="Times New Roman"/>
          <w:sz w:val="32"/>
          <w:szCs w:val="32"/>
        </w:rPr>
        <w:t>原始记录使用的方法标准与报告中的方法标准不一致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原始记录及结果与报告不一致，原始记录缺乏溯源性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等问题占比居高。</w:t>
      </w:r>
    </w:p>
    <w:p>
      <w:pPr>
        <w:widowControl/>
        <w:spacing w:line="560" w:lineRule="exact"/>
        <w:ind w:firstLine="62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帮助检验检测机构/实验室加强业务培训，提高关键岗位人员业务能力及专业水平，共同促进检验检测行业持续健康发展，北京国实检测技术研究院为检验检测机构/实验室精心打造，陆续推出案例剖析系列课程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，通过实际案例场景分析、对标依据和整改实务，以基于风险的思维，指导检验检测机构/实验室的合规运行实战。</w:t>
      </w:r>
      <w:r>
        <w:rPr>
          <w:rFonts w:hint="eastAsia" w:ascii="仿宋" w:hAnsi="仿宋" w:eastAsia="仿宋"/>
          <w:sz w:val="32"/>
          <w:szCs w:val="32"/>
        </w:rPr>
        <w:t>定于11月2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日-2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日组织第一期检验检测机构/实验室案例剖析系列</w:t>
      </w:r>
      <w:r>
        <w:rPr>
          <w:rFonts w:hint="eastAsia" w:ascii="仿宋" w:hAnsi="仿宋" w:eastAsia="仿宋"/>
          <w:sz w:val="32"/>
          <w:szCs w:val="32"/>
          <w:lang w:eastAsia="zh-CN"/>
        </w:rPr>
        <w:t>课程</w:t>
      </w:r>
      <w:r>
        <w:rPr>
          <w:rFonts w:hint="eastAsia" w:ascii="仿宋" w:hAnsi="仿宋" w:eastAsia="仿宋"/>
          <w:sz w:val="32"/>
          <w:szCs w:val="32"/>
        </w:rPr>
        <w:t>之记录与报告培训班。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现将培训有关事宜通知如下：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</w:rPr>
        <w:t>一、培训内容</w:t>
      </w:r>
    </w:p>
    <w:p>
      <w:pPr>
        <w:pStyle w:val="8"/>
        <w:spacing w:beforeAutospacing="0" w:after="150" w:afterAutospacing="0" w:line="560" w:lineRule="exact"/>
        <w:ind w:right="-226" w:firstLine="610" w:firstLineChars="209"/>
        <w:rPr>
          <w:rFonts w:ascii="仿宋" w:hAnsi="仿宋" w:eastAsia="仿宋" w:cs="仿宋"/>
          <w:spacing w:val="-6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检验检测机构/实验室相关法律法规、合规运营与风险</w:t>
      </w:r>
      <w:r>
        <w:rPr>
          <w:rFonts w:hint="eastAsia" w:ascii="仿宋" w:hAnsi="仿宋" w:eastAsia="仿宋" w:cs="仿宋"/>
          <w:spacing w:val="-6"/>
          <w:w w:val="90"/>
          <w:sz w:val="32"/>
          <w:szCs w:val="32"/>
        </w:rPr>
        <w:t>管理要求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；</w:t>
      </w:r>
    </w:p>
    <w:p>
      <w:pPr>
        <w:pStyle w:val="8"/>
        <w:spacing w:beforeAutospacing="0" w:after="150" w:afterAutospacing="0" w:line="560" w:lineRule="exact"/>
        <w:ind w:right="-226" w:firstLine="610" w:firstLineChars="209"/>
        <w:rPr>
          <w:rFonts w:ascii="仿宋" w:hAnsi="仿宋" w:eastAsia="仿宋" w:cs="仿宋"/>
          <w:spacing w:val="-6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《检验检测机构资质认定能力评价 检验检测机构通用要求》（RB/T 214—2017）、《检测和校准实验室能力认可准则》（CNAS-CL01:2018）相关条款解读，不符合项整改一般要求；</w:t>
      </w:r>
    </w:p>
    <w:p>
      <w:pPr>
        <w:pStyle w:val="8"/>
        <w:spacing w:beforeAutospacing="0" w:after="150" w:afterAutospacing="0" w:line="560" w:lineRule="exact"/>
        <w:ind w:right="-226" w:firstLine="610" w:firstLineChars="209"/>
        <w:rPr>
          <w:rFonts w:ascii="仿宋" w:hAnsi="仿宋" w:eastAsia="仿宋" w:cs="仿宋"/>
          <w:spacing w:val="-6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釆用研讨和交流方式，分享评审和监督检查十大典型案例场景、对标依据和整改实务训练；适当引入参训机构提供的实操案例和问题解析；</w:t>
      </w:r>
    </w:p>
    <w:p>
      <w:pPr>
        <w:pStyle w:val="8"/>
        <w:spacing w:beforeAutospacing="0" w:after="150" w:afterAutospacing="0" w:line="560" w:lineRule="exact"/>
        <w:ind w:right="-226" w:firstLine="610" w:firstLineChars="209"/>
        <w:rPr>
          <w:rFonts w:ascii="仿宋" w:hAnsi="仿宋" w:eastAsia="仿宋" w:cs="仿宋"/>
          <w:spacing w:val="-6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总结和奉献操作实践经验：原始记录证据作用及其控制实务；结果报告审批关注的关键要点及标识章的规范使用；不符合项整改要素和控制实操结论。</w:t>
      </w:r>
    </w:p>
    <w:p>
      <w:pPr>
        <w:pStyle w:val="8"/>
        <w:spacing w:beforeAutospacing="0" w:after="150" w:afterAutospacing="0" w:line="560" w:lineRule="exact"/>
        <w:ind w:right="-226" w:firstLine="0" w:firstLineChars="0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二、培训对象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各检验检测机构/实验室最高管理者、质量负责人、技术负责人/授权签字人及与质量管理相关其他岗位人员。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三、培训安排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地点：南京（培训酒店另行通知）；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时间：11月2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日-2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日，2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日报到。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四、培训教师</w:t>
      </w:r>
    </w:p>
    <w:p>
      <w:pPr>
        <w:pStyle w:val="8"/>
        <w:spacing w:beforeAutospacing="0" w:after="150" w:afterAutospacing="0" w:line="560" w:lineRule="exact"/>
        <w:ind w:right="-226" w:firstLine="736" w:firstLineChars="2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授课教师：国家级检验检测机构资质认定/实验室认可评审员资深教师；具有检验检测机构/实验室工作经验以及参加过实验室认可咨询或评审，具有丰富实践经验。</w:t>
      </w:r>
    </w:p>
    <w:p>
      <w:pPr>
        <w:pStyle w:val="8"/>
        <w:spacing w:beforeAutospacing="0" w:after="150" w:afterAutospacing="0" w:line="560" w:lineRule="exact"/>
        <w:ind w:right="-226"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每个培训班配备2名教师授课和指导。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ascii="黑体" w:hAnsi="黑体" w:eastAsia="黑体" w:cs="黑体"/>
          <w:sz w:val="32"/>
          <w:szCs w:val="32"/>
        </w:rPr>
      </w:pPr>
      <w:r>
        <w:rPr>
          <w:rStyle w:val="12"/>
          <w:rFonts w:hint="eastAsia" w:ascii="黑体" w:hAnsi="黑体" w:eastAsia="黑体" w:cs="黑体"/>
          <w:color w:val="333333"/>
          <w:sz w:val="32"/>
          <w:szCs w:val="32"/>
        </w:rPr>
        <w:t>五、培训费用</w:t>
      </w:r>
    </w:p>
    <w:p>
      <w:pPr>
        <w:pStyle w:val="8"/>
        <w:spacing w:beforeAutospacing="0" w:after="150" w:afterAutospacing="0" w:line="560" w:lineRule="exact"/>
        <w:ind w:right="-226"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本次培训每人收取1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580</w:t>
      </w:r>
      <w:r>
        <w:rPr>
          <w:rFonts w:hint="eastAsia" w:ascii="方正仿宋简体" w:eastAsia="方正仿宋简体"/>
          <w:sz w:val="32"/>
          <w:szCs w:val="32"/>
        </w:rPr>
        <w:t>元人民币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sz w:val="32"/>
          <w:szCs w:val="32"/>
        </w:rPr>
        <w:t>含教材和证书费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），</w:t>
      </w:r>
      <w:r>
        <w:rPr>
          <w:rFonts w:hint="eastAsia" w:ascii="方正仿宋简体" w:eastAsia="方正仿宋简体"/>
          <w:sz w:val="32"/>
          <w:szCs w:val="32"/>
        </w:rPr>
        <w:t>住宿统一安排，费用自理。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六、</w:t>
      </w:r>
      <w:r>
        <w:rPr>
          <w:rStyle w:val="12"/>
          <w:rFonts w:hint="eastAsia" w:ascii="黑体" w:hAnsi="黑体" w:eastAsia="黑体" w:cs="黑体"/>
          <w:color w:val="333333"/>
          <w:sz w:val="32"/>
          <w:szCs w:val="32"/>
        </w:rPr>
        <w:t>培训要求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12"/>
          <w:rFonts w:ascii="Times New Roman" w:hAnsi="Times New Roman" w:eastAsia="仿宋_GB2312" w:cs="Times New Roman"/>
          <w:color w:val="333333"/>
          <w:sz w:val="32"/>
          <w:szCs w:val="32"/>
        </w:rPr>
        <w:t>参训学员须携带：</w:t>
      </w:r>
    </w:p>
    <w:p>
      <w:pPr>
        <w:pStyle w:val="8"/>
        <w:spacing w:beforeAutospacing="0" w:after="150" w:afterAutospacing="0" w:line="560" w:lineRule="exact"/>
        <w:ind w:left="196" w:right="-226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1. 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手提电脑和U盘，便于现场练习和交流；</w:t>
      </w:r>
    </w:p>
    <w:p>
      <w:pPr>
        <w:pStyle w:val="8"/>
        <w:spacing w:beforeAutospacing="0" w:after="150" w:afterAutospacing="0" w:line="560" w:lineRule="exact"/>
        <w:ind w:left="196" w:right="-226" w:firstLine="320" w:firstLineChars="1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所在机构/实验室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与本次培训原始记录和报告相关的不符合项案例</w:t>
      </w:r>
      <w:r>
        <w:rPr>
          <w:rFonts w:ascii="Times New Roman" w:hAnsi="Times New Roman" w:eastAsia="仿宋_GB2312" w:cs="Times New Roman"/>
          <w:sz w:val="32"/>
          <w:szCs w:val="32"/>
        </w:rPr>
        <w:t>（可编辑电子版），便于现场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编写不符合描述，问题分析，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对标依据和整改实务</w:t>
      </w:r>
      <w:r>
        <w:rPr>
          <w:rFonts w:ascii="Times New Roman" w:hAnsi="Times New Roman" w:eastAsia="仿宋_GB2312" w:cs="Times New Roman"/>
          <w:sz w:val="32"/>
          <w:szCs w:val="32"/>
        </w:rPr>
        <w:t>等相关文件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spacing w:beforeAutospacing="0" w:after="150" w:afterAutospacing="0" w:line="560" w:lineRule="exact"/>
        <w:ind w:left="-226" w:right="-226" w:firstLine="321" w:firstLineChars="100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其他事项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firstLine="567" w:firstLineChars="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请有意向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的学员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日前将《培训回执表》（见附件1）发至beijingguoshi@163.com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987" w:hanging="42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袁常华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手机:15321663020(微信同号)</w:t>
      </w:r>
    </w:p>
    <w:p>
      <w:pPr>
        <w:widowControl/>
        <w:spacing w:line="520" w:lineRule="exact"/>
        <w:ind w:firstLine="624" w:firstLineChars="200"/>
        <w:rPr>
          <w:rFonts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  <w:t>费用收取：</w:t>
      </w:r>
    </w:p>
    <w:p>
      <w:pPr>
        <w:widowControl/>
        <w:spacing w:line="520" w:lineRule="exact"/>
        <w:ind w:firstLine="640" w:firstLineChars="200"/>
        <w:rPr>
          <w:rFonts w:ascii="方正仿宋简体" w:hAnsi="仿宋" w:eastAsia="方正仿宋简体"/>
          <w:color w:val="auto"/>
          <w:spacing w:val="-10"/>
          <w:sz w:val="32"/>
          <w:szCs w:val="32"/>
          <w:u w:val="none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  <w:u w:val="none"/>
        </w:rPr>
        <w:t>（1）汇款缴费</w:t>
      </w:r>
    </w:p>
    <w:p>
      <w:pPr>
        <w:widowControl/>
        <w:spacing w:line="520" w:lineRule="exact"/>
        <w:ind w:firstLine="624" w:firstLineChars="200"/>
        <w:rPr>
          <w:rFonts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  <w:t>请于开班前3个工作日将培训款汇入以下账号，并请将汇款凭证提交给联系人。</w:t>
      </w:r>
    </w:p>
    <w:p>
      <w:pPr>
        <w:widowControl/>
        <w:spacing w:line="520" w:lineRule="exact"/>
        <w:ind w:firstLine="624" w:firstLineChars="200"/>
        <w:rPr>
          <w:rFonts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  <w:t>账户名：北京国实检测技术研究院</w:t>
      </w:r>
    </w:p>
    <w:p>
      <w:pPr>
        <w:widowControl/>
        <w:spacing w:line="520" w:lineRule="exact"/>
        <w:ind w:firstLine="624" w:firstLineChars="200"/>
        <w:rPr>
          <w:rFonts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  <w:t>开户行：中国建设银行北京西四支行</w:t>
      </w:r>
    </w:p>
    <w:p>
      <w:pPr>
        <w:widowControl/>
        <w:spacing w:line="520" w:lineRule="exact"/>
        <w:ind w:firstLine="624" w:firstLineChars="200"/>
        <w:rPr>
          <w:rFonts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4"/>
          <w:sz w:val="32"/>
          <w:szCs w:val="32"/>
          <w:u w:val="none"/>
        </w:rPr>
        <w:t>银行账号：11050161360000000648</w:t>
      </w:r>
    </w:p>
    <w:p>
      <w:pPr>
        <w:spacing w:line="520" w:lineRule="exact"/>
        <w:rPr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  <w:u w:val="none"/>
        </w:rPr>
        <w:t xml:space="preserve">   （2）现场缴费：如无特殊情况请刷卡缴费。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方正仿宋简体" w:hAnsi="仿宋" w:eastAsia="方正仿宋简体"/>
          <w:color w:val="auto"/>
          <w:sz w:val="32"/>
          <w:szCs w:val="32"/>
          <w:u w:val="none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  <w:u w:val="none"/>
        </w:rPr>
        <w:t>特此通知。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  <w:t xml:space="preserve">附件：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  <w:t>1.培训回执表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spacing w:line="560" w:lineRule="exact"/>
        <w:ind w:left="0" w:firstLine="1890" w:firstLineChars="900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108585</wp:posOffset>
            </wp:positionV>
            <wp:extent cx="1551305" cy="1551305"/>
            <wp:effectExtent l="0" t="0" r="3175" b="3175"/>
            <wp:wrapNone/>
            <wp:docPr id="3" name="图片 3" descr="C:\Users\ADMINI~1\AppData\Local\Temp\1573197327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73197327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eastAsia="zh-CN"/>
        </w:rPr>
        <w:t>培训课程安排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北京国实检测技术研究院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5440" w:firstLineChars="17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</w:p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br w:type="page"/>
      </w:r>
    </w:p>
    <w:p>
      <w:pPr>
        <w:widowControl/>
        <w:adjustRightInd/>
        <w:snapToGrid/>
        <w:spacing w:after="0" w:afterAutospacing="0" w:line="240" w:lineRule="auto"/>
        <w:jc w:val="both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213360</wp:posOffset>
            </wp:positionV>
            <wp:extent cx="819150" cy="819150"/>
            <wp:effectExtent l="0" t="0" r="0" b="0"/>
            <wp:wrapNone/>
            <wp:docPr id="8" name="图片 8" descr="C:\Users\Administrator\Desktop\国实LOGO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国实LOGO\图片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p>
      <w:pPr>
        <w:adjustRightInd w:val="0"/>
        <w:snapToGrid w:val="0"/>
        <w:spacing w:after="100" w:afterAutospacing="1" w:line="3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检验检测机构/实验室案例剖析系列之</w:t>
      </w:r>
    </w:p>
    <w:p>
      <w:pPr>
        <w:adjustRightInd w:val="0"/>
        <w:snapToGrid w:val="0"/>
        <w:spacing w:after="100" w:afterAutospacing="1" w:line="3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记录与报告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（南京）培训班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回执表</w:t>
      </w:r>
    </w:p>
    <w:tbl>
      <w:tblPr>
        <w:tblStyle w:val="10"/>
        <w:tblW w:w="87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39"/>
        <w:gridCol w:w="1416"/>
        <w:gridCol w:w="472"/>
        <w:gridCol w:w="1524"/>
        <w:gridCol w:w="1218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 w:firstLineChars="98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E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现从事专业（或工作）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交费方式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□现场交费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□汇款交费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 xml:space="preserve">1.□增值税普通发票（纳税人识别号或统一社会信用代码） 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名称(发票抬头)：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纳税人识别号：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2.□增值税普通发票（全部开票信息）           3.□增值税专用发票（全部开票信息）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名称(发票抬头)：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纳税人识别号：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地 址、电 话：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开户行及账号：</w:t>
            </w:r>
          </w:p>
          <w:p>
            <w:pPr>
              <w:widowControl/>
              <w:spacing w:line="320" w:lineRule="exact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2"/>
              </w:rPr>
              <w:t>注：以上三种开票情况只能选择一种，请和财务确认相关开票信息。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>
      <w:pPr>
        <w:widowControl/>
        <w:spacing w:line="440" w:lineRule="exact"/>
        <w:rPr>
          <w:rFonts w:hint="eastAsia" w:ascii="Calibri" w:hAnsi="Calibri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注: 请将此参会回执表发邮件至：</w:t>
      </w:r>
      <w:r>
        <w:rPr>
          <w:rFonts w:hint="eastAsia" w:ascii="Calibri" w:hAnsi="Calibri" w:eastAsia="宋体" w:cs="Times New Roman"/>
          <w:color w:val="auto"/>
        </w:rPr>
        <w:t>beijingguoshi@163.com</w:t>
      </w:r>
    </w:p>
    <w:p>
      <w:pPr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联系人：</w:t>
      </w: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eastAsia="zh-CN"/>
        </w:rPr>
        <w:t>袁常华</w:t>
      </w: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</w:rPr>
        <w:t xml:space="preserve">  手机:15321663020(微信同号)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案例剖析系列之记录与报告培训班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安排</w:t>
      </w:r>
    </w:p>
    <w:p>
      <w:pPr>
        <w:pStyle w:val="8"/>
        <w:spacing w:beforeAutospacing="0" w:after="150" w:afterAutospacing="0"/>
        <w:ind w:left="-226" w:right="-226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0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35"/>
        <w:gridCol w:w="564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检验检测机构/实验室相关法律法规、合规运营与风险管理培训；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《检验检测机构资质认定能力评价 检验检测机构通用要求》（RB/T 214—2017）、《检测和校准实验室能力认可准则》（CNAS-CL01:2018）相关条款解读，不符合项整改一般要求。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李绍连</w:t>
            </w:r>
          </w:p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学员分组并根据老师指定条款分配案例并结合自己所在机构/实验室的不符合案例进行问题分析，对标依据和整改实务，老师全程指导。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每组选定1名学员代表进行汇报，汇报时间限定在25min，老师和学员点评 ；学员根据点评修改；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2.优秀方案分享和交流答疑。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总结和奉献操作实践经验：原始记录证据作用及其控制实务；结果报告审批关注的关键要点及标识章的规范使用；不符合项整改要素和控制实操结论。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highlight w:val="none"/>
        </w:rPr>
      </w:pPr>
    </w:p>
    <w:p>
      <w:pPr>
        <w:spacing w:line="240" w:lineRule="auto"/>
      </w:pPr>
    </w:p>
    <w:sectPr>
      <w:pgSz w:w="11906" w:h="16838"/>
      <w:pgMar w:top="227" w:right="1800" w:bottom="2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4EC2F"/>
    <w:multiLevelType w:val="singleLevel"/>
    <w:tmpl w:val="BCF4EC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921FF0"/>
    <w:multiLevelType w:val="multilevel"/>
    <w:tmpl w:val="49921FF0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682F68C5"/>
    <w:multiLevelType w:val="singleLevel"/>
    <w:tmpl w:val="682F68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D"/>
    <w:rsid w:val="00003390"/>
    <w:rsid w:val="00003D2A"/>
    <w:rsid w:val="000068E3"/>
    <w:rsid w:val="00017A8C"/>
    <w:rsid w:val="00033002"/>
    <w:rsid w:val="000426C9"/>
    <w:rsid w:val="00045C28"/>
    <w:rsid w:val="0004630F"/>
    <w:rsid w:val="00072FAD"/>
    <w:rsid w:val="000925B9"/>
    <w:rsid w:val="0009414C"/>
    <w:rsid w:val="00095806"/>
    <w:rsid w:val="000A27BC"/>
    <w:rsid w:val="000A6075"/>
    <w:rsid w:val="000B6D59"/>
    <w:rsid w:val="000C57BC"/>
    <w:rsid w:val="000D29C3"/>
    <w:rsid w:val="000D3378"/>
    <w:rsid w:val="000D5E52"/>
    <w:rsid w:val="000F04B6"/>
    <w:rsid w:val="000F24AE"/>
    <w:rsid w:val="0010012C"/>
    <w:rsid w:val="00112389"/>
    <w:rsid w:val="00116E0A"/>
    <w:rsid w:val="00153D22"/>
    <w:rsid w:val="00167D3C"/>
    <w:rsid w:val="001724F3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075A"/>
    <w:rsid w:val="002541B0"/>
    <w:rsid w:val="002571E5"/>
    <w:rsid w:val="00257442"/>
    <w:rsid w:val="00281D37"/>
    <w:rsid w:val="00284AA9"/>
    <w:rsid w:val="002939D7"/>
    <w:rsid w:val="0029714E"/>
    <w:rsid w:val="002A1E5E"/>
    <w:rsid w:val="002A3C81"/>
    <w:rsid w:val="002B0CF8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66D8C"/>
    <w:rsid w:val="00371124"/>
    <w:rsid w:val="00377488"/>
    <w:rsid w:val="00384089"/>
    <w:rsid w:val="00384897"/>
    <w:rsid w:val="003904F1"/>
    <w:rsid w:val="003B210B"/>
    <w:rsid w:val="003C2A3E"/>
    <w:rsid w:val="003C6D6B"/>
    <w:rsid w:val="003D169C"/>
    <w:rsid w:val="003D2625"/>
    <w:rsid w:val="003D3430"/>
    <w:rsid w:val="003E2F45"/>
    <w:rsid w:val="003F3033"/>
    <w:rsid w:val="003F5B60"/>
    <w:rsid w:val="004202DC"/>
    <w:rsid w:val="004204CC"/>
    <w:rsid w:val="00422194"/>
    <w:rsid w:val="004305AB"/>
    <w:rsid w:val="0043153A"/>
    <w:rsid w:val="004316B6"/>
    <w:rsid w:val="00432780"/>
    <w:rsid w:val="004616ED"/>
    <w:rsid w:val="004800E1"/>
    <w:rsid w:val="00481799"/>
    <w:rsid w:val="00484546"/>
    <w:rsid w:val="004B10AF"/>
    <w:rsid w:val="004C0E97"/>
    <w:rsid w:val="004C6BCD"/>
    <w:rsid w:val="004D51C7"/>
    <w:rsid w:val="004E064A"/>
    <w:rsid w:val="004F23A6"/>
    <w:rsid w:val="00515DFD"/>
    <w:rsid w:val="00556290"/>
    <w:rsid w:val="005678E9"/>
    <w:rsid w:val="0057322B"/>
    <w:rsid w:val="00595B5B"/>
    <w:rsid w:val="005C1A40"/>
    <w:rsid w:val="005F5192"/>
    <w:rsid w:val="0062064C"/>
    <w:rsid w:val="00621083"/>
    <w:rsid w:val="00632B44"/>
    <w:rsid w:val="00635129"/>
    <w:rsid w:val="00635B3D"/>
    <w:rsid w:val="00644C00"/>
    <w:rsid w:val="00645DB0"/>
    <w:rsid w:val="00664638"/>
    <w:rsid w:val="00693E64"/>
    <w:rsid w:val="006A368B"/>
    <w:rsid w:val="006B27EC"/>
    <w:rsid w:val="00706188"/>
    <w:rsid w:val="00720B8D"/>
    <w:rsid w:val="00724BA5"/>
    <w:rsid w:val="00734416"/>
    <w:rsid w:val="00737F0B"/>
    <w:rsid w:val="0074558A"/>
    <w:rsid w:val="00752351"/>
    <w:rsid w:val="0075791B"/>
    <w:rsid w:val="00781C29"/>
    <w:rsid w:val="00782ADC"/>
    <w:rsid w:val="00782F23"/>
    <w:rsid w:val="00785993"/>
    <w:rsid w:val="00792185"/>
    <w:rsid w:val="007C479C"/>
    <w:rsid w:val="007C6731"/>
    <w:rsid w:val="007D4FB8"/>
    <w:rsid w:val="007D622C"/>
    <w:rsid w:val="007F4145"/>
    <w:rsid w:val="007F60E8"/>
    <w:rsid w:val="008007A9"/>
    <w:rsid w:val="008041FD"/>
    <w:rsid w:val="008522EE"/>
    <w:rsid w:val="008529FE"/>
    <w:rsid w:val="008863AD"/>
    <w:rsid w:val="008A06C3"/>
    <w:rsid w:val="008B322C"/>
    <w:rsid w:val="008D0F40"/>
    <w:rsid w:val="008F61EA"/>
    <w:rsid w:val="008F7E88"/>
    <w:rsid w:val="00910C48"/>
    <w:rsid w:val="009145E4"/>
    <w:rsid w:val="0092393B"/>
    <w:rsid w:val="00932B5A"/>
    <w:rsid w:val="009362C4"/>
    <w:rsid w:val="009737BA"/>
    <w:rsid w:val="00984EEF"/>
    <w:rsid w:val="009929B0"/>
    <w:rsid w:val="00997041"/>
    <w:rsid w:val="009A3FD6"/>
    <w:rsid w:val="009C5F6D"/>
    <w:rsid w:val="009D1B45"/>
    <w:rsid w:val="009E4D64"/>
    <w:rsid w:val="009F21C0"/>
    <w:rsid w:val="00A16F8D"/>
    <w:rsid w:val="00A17150"/>
    <w:rsid w:val="00A178C3"/>
    <w:rsid w:val="00A24BD8"/>
    <w:rsid w:val="00A31B2A"/>
    <w:rsid w:val="00A513C6"/>
    <w:rsid w:val="00A65BB8"/>
    <w:rsid w:val="00A743F6"/>
    <w:rsid w:val="00A83AC1"/>
    <w:rsid w:val="00A86BA2"/>
    <w:rsid w:val="00AB1E5F"/>
    <w:rsid w:val="00AC33EB"/>
    <w:rsid w:val="00AD1E40"/>
    <w:rsid w:val="00AF5215"/>
    <w:rsid w:val="00AF5D5B"/>
    <w:rsid w:val="00B01C46"/>
    <w:rsid w:val="00B02BB5"/>
    <w:rsid w:val="00B10DBE"/>
    <w:rsid w:val="00B31311"/>
    <w:rsid w:val="00B86A4C"/>
    <w:rsid w:val="00B95E99"/>
    <w:rsid w:val="00BB3417"/>
    <w:rsid w:val="00BB64A7"/>
    <w:rsid w:val="00BC2DD9"/>
    <w:rsid w:val="00BC3DED"/>
    <w:rsid w:val="00BD2412"/>
    <w:rsid w:val="00BD2B88"/>
    <w:rsid w:val="00BD6647"/>
    <w:rsid w:val="00C01FC3"/>
    <w:rsid w:val="00C03B3A"/>
    <w:rsid w:val="00C04FA1"/>
    <w:rsid w:val="00C168AD"/>
    <w:rsid w:val="00C20950"/>
    <w:rsid w:val="00C22034"/>
    <w:rsid w:val="00C43DC1"/>
    <w:rsid w:val="00C52929"/>
    <w:rsid w:val="00C575B1"/>
    <w:rsid w:val="00CA1CD6"/>
    <w:rsid w:val="00CA2CCE"/>
    <w:rsid w:val="00CA649B"/>
    <w:rsid w:val="00CF2ED3"/>
    <w:rsid w:val="00CF3E04"/>
    <w:rsid w:val="00D04C3D"/>
    <w:rsid w:val="00D12BF2"/>
    <w:rsid w:val="00D16B09"/>
    <w:rsid w:val="00D2105E"/>
    <w:rsid w:val="00D4351F"/>
    <w:rsid w:val="00D6727A"/>
    <w:rsid w:val="00D76AC2"/>
    <w:rsid w:val="00DA1319"/>
    <w:rsid w:val="00DB42EE"/>
    <w:rsid w:val="00DB5EE0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73D3"/>
    <w:rsid w:val="00E47123"/>
    <w:rsid w:val="00E471E7"/>
    <w:rsid w:val="00E551BD"/>
    <w:rsid w:val="00E855A4"/>
    <w:rsid w:val="00EF2833"/>
    <w:rsid w:val="00F2235D"/>
    <w:rsid w:val="00F446B6"/>
    <w:rsid w:val="00F8095C"/>
    <w:rsid w:val="00F860BB"/>
    <w:rsid w:val="00F90495"/>
    <w:rsid w:val="00F948B8"/>
    <w:rsid w:val="00FA2DAC"/>
    <w:rsid w:val="00FA4E74"/>
    <w:rsid w:val="00FB2648"/>
    <w:rsid w:val="00FC4405"/>
    <w:rsid w:val="00FD6EF4"/>
    <w:rsid w:val="00FE1774"/>
    <w:rsid w:val="00FF0A19"/>
    <w:rsid w:val="011706FA"/>
    <w:rsid w:val="011922BA"/>
    <w:rsid w:val="01261A0E"/>
    <w:rsid w:val="01D00299"/>
    <w:rsid w:val="01DE5FEA"/>
    <w:rsid w:val="01FA2C48"/>
    <w:rsid w:val="022807B9"/>
    <w:rsid w:val="024762D8"/>
    <w:rsid w:val="024E7E1B"/>
    <w:rsid w:val="02BA73CE"/>
    <w:rsid w:val="02E42DD6"/>
    <w:rsid w:val="02FC2CB2"/>
    <w:rsid w:val="034F3394"/>
    <w:rsid w:val="03825393"/>
    <w:rsid w:val="04BA3EFA"/>
    <w:rsid w:val="05791EC0"/>
    <w:rsid w:val="059D23BE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FD3EB9"/>
    <w:rsid w:val="08416705"/>
    <w:rsid w:val="086C3A4A"/>
    <w:rsid w:val="08A87822"/>
    <w:rsid w:val="08B4705D"/>
    <w:rsid w:val="08B67B85"/>
    <w:rsid w:val="08E802BD"/>
    <w:rsid w:val="091E65F6"/>
    <w:rsid w:val="092D4B4F"/>
    <w:rsid w:val="09704988"/>
    <w:rsid w:val="09C54CE8"/>
    <w:rsid w:val="09C722A2"/>
    <w:rsid w:val="09E218EC"/>
    <w:rsid w:val="0A8A3A28"/>
    <w:rsid w:val="0ABF5E0B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80E74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413382"/>
    <w:rsid w:val="0F4433AD"/>
    <w:rsid w:val="0F5030D4"/>
    <w:rsid w:val="0F5922FE"/>
    <w:rsid w:val="0F5942B7"/>
    <w:rsid w:val="0FAB1E25"/>
    <w:rsid w:val="0FDE4D85"/>
    <w:rsid w:val="0FFB3BED"/>
    <w:rsid w:val="100B2C85"/>
    <w:rsid w:val="102C3AA8"/>
    <w:rsid w:val="104A2239"/>
    <w:rsid w:val="1068677A"/>
    <w:rsid w:val="106F10B2"/>
    <w:rsid w:val="108F5647"/>
    <w:rsid w:val="10AD6670"/>
    <w:rsid w:val="10B276CF"/>
    <w:rsid w:val="10BF5AD7"/>
    <w:rsid w:val="10EC7A13"/>
    <w:rsid w:val="10F46875"/>
    <w:rsid w:val="11224475"/>
    <w:rsid w:val="1190582A"/>
    <w:rsid w:val="1194450E"/>
    <w:rsid w:val="11B125BD"/>
    <w:rsid w:val="11E42793"/>
    <w:rsid w:val="12400354"/>
    <w:rsid w:val="1257169E"/>
    <w:rsid w:val="125A16AC"/>
    <w:rsid w:val="125C21E0"/>
    <w:rsid w:val="125E42CA"/>
    <w:rsid w:val="127E173B"/>
    <w:rsid w:val="12DF69B0"/>
    <w:rsid w:val="12ED34B5"/>
    <w:rsid w:val="12FC7758"/>
    <w:rsid w:val="13392E84"/>
    <w:rsid w:val="13630897"/>
    <w:rsid w:val="1374379A"/>
    <w:rsid w:val="138B0A21"/>
    <w:rsid w:val="139B6F71"/>
    <w:rsid w:val="139F16D1"/>
    <w:rsid w:val="13DF60CD"/>
    <w:rsid w:val="13E76BB8"/>
    <w:rsid w:val="13F2149D"/>
    <w:rsid w:val="143308ED"/>
    <w:rsid w:val="143F7AE4"/>
    <w:rsid w:val="144E0EE2"/>
    <w:rsid w:val="14564A26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7D31A7"/>
    <w:rsid w:val="16866D6A"/>
    <w:rsid w:val="168F2CA5"/>
    <w:rsid w:val="16E86069"/>
    <w:rsid w:val="17610063"/>
    <w:rsid w:val="176C4ABA"/>
    <w:rsid w:val="17AD1C78"/>
    <w:rsid w:val="17C132A4"/>
    <w:rsid w:val="17DC378B"/>
    <w:rsid w:val="17DD552F"/>
    <w:rsid w:val="17E767FA"/>
    <w:rsid w:val="18376BBC"/>
    <w:rsid w:val="18DE32DA"/>
    <w:rsid w:val="19043F96"/>
    <w:rsid w:val="199719CF"/>
    <w:rsid w:val="199946EC"/>
    <w:rsid w:val="19CF20F0"/>
    <w:rsid w:val="1A146A30"/>
    <w:rsid w:val="1A396CA9"/>
    <w:rsid w:val="1A4F2C5D"/>
    <w:rsid w:val="1A895D5B"/>
    <w:rsid w:val="1AA22BD7"/>
    <w:rsid w:val="1AE56FDC"/>
    <w:rsid w:val="1B177943"/>
    <w:rsid w:val="1B367F3A"/>
    <w:rsid w:val="1BC66B97"/>
    <w:rsid w:val="1BC87075"/>
    <w:rsid w:val="1BCA3837"/>
    <w:rsid w:val="1C01514A"/>
    <w:rsid w:val="1C22147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E087477"/>
    <w:rsid w:val="1E18054A"/>
    <w:rsid w:val="1EEF0751"/>
    <w:rsid w:val="1F09160A"/>
    <w:rsid w:val="1F165860"/>
    <w:rsid w:val="1F2F62B3"/>
    <w:rsid w:val="1F627AF6"/>
    <w:rsid w:val="1F87794E"/>
    <w:rsid w:val="1FE654C8"/>
    <w:rsid w:val="1FE85338"/>
    <w:rsid w:val="1FF839CD"/>
    <w:rsid w:val="201D1A63"/>
    <w:rsid w:val="20293179"/>
    <w:rsid w:val="206B184A"/>
    <w:rsid w:val="20A620A8"/>
    <w:rsid w:val="20CF07EE"/>
    <w:rsid w:val="20D8117E"/>
    <w:rsid w:val="21311E83"/>
    <w:rsid w:val="21690630"/>
    <w:rsid w:val="216F4DF8"/>
    <w:rsid w:val="217B6680"/>
    <w:rsid w:val="21946380"/>
    <w:rsid w:val="223976D4"/>
    <w:rsid w:val="223F4D6D"/>
    <w:rsid w:val="225C4605"/>
    <w:rsid w:val="22B160F2"/>
    <w:rsid w:val="22BD3AF5"/>
    <w:rsid w:val="23414ADC"/>
    <w:rsid w:val="234B1D7D"/>
    <w:rsid w:val="235F7A7B"/>
    <w:rsid w:val="23731252"/>
    <w:rsid w:val="23A7328D"/>
    <w:rsid w:val="23D3646F"/>
    <w:rsid w:val="240210A2"/>
    <w:rsid w:val="24440517"/>
    <w:rsid w:val="244D4F62"/>
    <w:rsid w:val="247355FB"/>
    <w:rsid w:val="2496382E"/>
    <w:rsid w:val="24A47DF9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9F40A6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872AF0"/>
    <w:rsid w:val="28E96180"/>
    <w:rsid w:val="29086BFC"/>
    <w:rsid w:val="295E1AE9"/>
    <w:rsid w:val="295F0024"/>
    <w:rsid w:val="2A2B5B99"/>
    <w:rsid w:val="2A374290"/>
    <w:rsid w:val="2A7F417E"/>
    <w:rsid w:val="2AE338D5"/>
    <w:rsid w:val="2B23599E"/>
    <w:rsid w:val="2B857B2C"/>
    <w:rsid w:val="2BA41E05"/>
    <w:rsid w:val="2BAC555E"/>
    <w:rsid w:val="2C1B1402"/>
    <w:rsid w:val="2C273E5A"/>
    <w:rsid w:val="2C3B3A62"/>
    <w:rsid w:val="2C534F1E"/>
    <w:rsid w:val="2C87171C"/>
    <w:rsid w:val="2CA75D3E"/>
    <w:rsid w:val="2CCC3457"/>
    <w:rsid w:val="2CD32D62"/>
    <w:rsid w:val="2D004411"/>
    <w:rsid w:val="2D5C5A9E"/>
    <w:rsid w:val="2D934A1E"/>
    <w:rsid w:val="2DAC144A"/>
    <w:rsid w:val="2DDA6E6B"/>
    <w:rsid w:val="2DF71BF6"/>
    <w:rsid w:val="2E07238A"/>
    <w:rsid w:val="2E6F77A5"/>
    <w:rsid w:val="2EB13E0E"/>
    <w:rsid w:val="2ED33699"/>
    <w:rsid w:val="2ED97367"/>
    <w:rsid w:val="2EF20730"/>
    <w:rsid w:val="2F4A744E"/>
    <w:rsid w:val="2FB66DC2"/>
    <w:rsid w:val="30887BDA"/>
    <w:rsid w:val="30A550A5"/>
    <w:rsid w:val="30D402D8"/>
    <w:rsid w:val="30E80B59"/>
    <w:rsid w:val="31191297"/>
    <w:rsid w:val="319705F9"/>
    <w:rsid w:val="319E1F74"/>
    <w:rsid w:val="32255672"/>
    <w:rsid w:val="32407AD6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45A438F"/>
    <w:rsid w:val="350B166A"/>
    <w:rsid w:val="358F783B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692A3B"/>
    <w:rsid w:val="37B54750"/>
    <w:rsid w:val="381B7CF7"/>
    <w:rsid w:val="3832716A"/>
    <w:rsid w:val="384E1E6F"/>
    <w:rsid w:val="385871B3"/>
    <w:rsid w:val="389174E2"/>
    <w:rsid w:val="38957571"/>
    <w:rsid w:val="38E320DB"/>
    <w:rsid w:val="3980091A"/>
    <w:rsid w:val="39803197"/>
    <w:rsid w:val="399F36A2"/>
    <w:rsid w:val="39E214D3"/>
    <w:rsid w:val="39FE1040"/>
    <w:rsid w:val="3A410F0F"/>
    <w:rsid w:val="3A433073"/>
    <w:rsid w:val="3AA46B78"/>
    <w:rsid w:val="3ACA46C7"/>
    <w:rsid w:val="3AE34604"/>
    <w:rsid w:val="3B402D0C"/>
    <w:rsid w:val="3BA25B49"/>
    <w:rsid w:val="3BC806F5"/>
    <w:rsid w:val="3BD01AAE"/>
    <w:rsid w:val="3BEF0050"/>
    <w:rsid w:val="3C081A5D"/>
    <w:rsid w:val="3C153ED5"/>
    <w:rsid w:val="3C427D8D"/>
    <w:rsid w:val="3C522858"/>
    <w:rsid w:val="3C6B1526"/>
    <w:rsid w:val="3C7D3AB5"/>
    <w:rsid w:val="3C9E68FC"/>
    <w:rsid w:val="3CB27028"/>
    <w:rsid w:val="3CDB52FC"/>
    <w:rsid w:val="3D0F3947"/>
    <w:rsid w:val="3D890073"/>
    <w:rsid w:val="3DA00DEC"/>
    <w:rsid w:val="3DB165E2"/>
    <w:rsid w:val="3DD359CF"/>
    <w:rsid w:val="3E14170F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0FA40AA"/>
    <w:rsid w:val="41325ED5"/>
    <w:rsid w:val="41837581"/>
    <w:rsid w:val="41A9689C"/>
    <w:rsid w:val="41D8150A"/>
    <w:rsid w:val="42892BD9"/>
    <w:rsid w:val="42A36BBB"/>
    <w:rsid w:val="42A7020F"/>
    <w:rsid w:val="42FB3781"/>
    <w:rsid w:val="436F446D"/>
    <w:rsid w:val="43A342E9"/>
    <w:rsid w:val="44025FF3"/>
    <w:rsid w:val="44382C23"/>
    <w:rsid w:val="44461AC6"/>
    <w:rsid w:val="44493564"/>
    <w:rsid w:val="44573797"/>
    <w:rsid w:val="44876547"/>
    <w:rsid w:val="452C6225"/>
    <w:rsid w:val="454E7B0C"/>
    <w:rsid w:val="45923E7E"/>
    <w:rsid w:val="45F31DF5"/>
    <w:rsid w:val="461F1225"/>
    <w:rsid w:val="46255855"/>
    <w:rsid w:val="46282DDB"/>
    <w:rsid w:val="46B54A97"/>
    <w:rsid w:val="46FB0361"/>
    <w:rsid w:val="4716587D"/>
    <w:rsid w:val="47324495"/>
    <w:rsid w:val="47731D0F"/>
    <w:rsid w:val="48007D68"/>
    <w:rsid w:val="482A0867"/>
    <w:rsid w:val="483D3D5E"/>
    <w:rsid w:val="488E22E9"/>
    <w:rsid w:val="48B25745"/>
    <w:rsid w:val="48C37F82"/>
    <w:rsid w:val="49003DB8"/>
    <w:rsid w:val="494A0780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C506D68"/>
    <w:rsid w:val="4C575879"/>
    <w:rsid w:val="4C5860F0"/>
    <w:rsid w:val="4C9B63AB"/>
    <w:rsid w:val="4CEB71E0"/>
    <w:rsid w:val="4CFE4543"/>
    <w:rsid w:val="4D063B12"/>
    <w:rsid w:val="4D2113DF"/>
    <w:rsid w:val="4D4C3F44"/>
    <w:rsid w:val="4D5626FD"/>
    <w:rsid w:val="4DEA7034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33593D"/>
    <w:rsid w:val="503C77F9"/>
    <w:rsid w:val="503D2748"/>
    <w:rsid w:val="50976E33"/>
    <w:rsid w:val="50AD4FFB"/>
    <w:rsid w:val="50D01866"/>
    <w:rsid w:val="50F12A4B"/>
    <w:rsid w:val="51523478"/>
    <w:rsid w:val="51EF7AED"/>
    <w:rsid w:val="51F44986"/>
    <w:rsid w:val="524E7C9F"/>
    <w:rsid w:val="52580B9D"/>
    <w:rsid w:val="52862DCC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97348A"/>
    <w:rsid w:val="54E939F5"/>
    <w:rsid w:val="54EF3529"/>
    <w:rsid w:val="550D6E17"/>
    <w:rsid w:val="55134395"/>
    <w:rsid w:val="553E7595"/>
    <w:rsid w:val="55530899"/>
    <w:rsid w:val="556D0E93"/>
    <w:rsid w:val="5631757B"/>
    <w:rsid w:val="563B3DE2"/>
    <w:rsid w:val="563F15A0"/>
    <w:rsid w:val="569965CE"/>
    <w:rsid w:val="575911DA"/>
    <w:rsid w:val="577A2A82"/>
    <w:rsid w:val="57D14769"/>
    <w:rsid w:val="57D5446F"/>
    <w:rsid w:val="580F4096"/>
    <w:rsid w:val="585D67C5"/>
    <w:rsid w:val="58612395"/>
    <w:rsid w:val="588F4F5E"/>
    <w:rsid w:val="58AD6BE4"/>
    <w:rsid w:val="58D35D5E"/>
    <w:rsid w:val="59706691"/>
    <w:rsid w:val="59876A23"/>
    <w:rsid w:val="59B0509A"/>
    <w:rsid w:val="59DB18E1"/>
    <w:rsid w:val="5A25179F"/>
    <w:rsid w:val="5A4040B8"/>
    <w:rsid w:val="5A5E39BD"/>
    <w:rsid w:val="5A690FE5"/>
    <w:rsid w:val="5A7F5D7F"/>
    <w:rsid w:val="5AA806D6"/>
    <w:rsid w:val="5AF500C0"/>
    <w:rsid w:val="5AFE4F29"/>
    <w:rsid w:val="5B556058"/>
    <w:rsid w:val="5B594DC7"/>
    <w:rsid w:val="5B8461D7"/>
    <w:rsid w:val="5B8B7F80"/>
    <w:rsid w:val="5BE60DCF"/>
    <w:rsid w:val="5BE617BE"/>
    <w:rsid w:val="5C490041"/>
    <w:rsid w:val="5C7A6AFD"/>
    <w:rsid w:val="5C953D02"/>
    <w:rsid w:val="5CB9542C"/>
    <w:rsid w:val="5CC5592C"/>
    <w:rsid w:val="5CD471C6"/>
    <w:rsid w:val="5D0E311F"/>
    <w:rsid w:val="5D2D00B1"/>
    <w:rsid w:val="5D402FD8"/>
    <w:rsid w:val="5D8253A9"/>
    <w:rsid w:val="5D97383B"/>
    <w:rsid w:val="5E7162B8"/>
    <w:rsid w:val="5EB53F96"/>
    <w:rsid w:val="5ECD4F90"/>
    <w:rsid w:val="5EEE5596"/>
    <w:rsid w:val="5F193914"/>
    <w:rsid w:val="5F404822"/>
    <w:rsid w:val="5F7354B3"/>
    <w:rsid w:val="5F7F16B8"/>
    <w:rsid w:val="5F8A15E9"/>
    <w:rsid w:val="5F9849ED"/>
    <w:rsid w:val="5FB10092"/>
    <w:rsid w:val="5FB3306B"/>
    <w:rsid w:val="5FF1010A"/>
    <w:rsid w:val="607162DA"/>
    <w:rsid w:val="60B80332"/>
    <w:rsid w:val="60DC7857"/>
    <w:rsid w:val="610A24E2"/>
    <w:rsid w:val="61650D03"/>
    <w:rsid w:val="61B42735"/>
    <w:rsid w:val="61B47919"/>
    <w:rsid w:val="61EA4C24"/>
    <w:rsid w:val="620F2C16"/>
    <w:rsid w:val="625D72BC"/>
    <w:rsid w:val="62762F85"/>
    <w:rsid w:val="62D21B3A"/>
    <w:rsid w:val="62FF091F"/>
    <w:rsid w:val="63334391"/>
    <w:rsid w:val="636528E0"/>
    <w:rsid w:val="63663E9B"/>
    <w:rsid w:val="63DD43C8"/>
    <w:rsid w:val="643C760E"/>
    <w:rsid w:val="64C0563C"/>
    <w:rsid w:val="651C04AE"/>
    <w:rsid w:val="655D4A5F"/>
    <w:rsid w:val="657C73A1"/>
    <w:rsid w:val="658D00D7"/>
    <w:rsid w:val="659146B0"/>
    <w:rsid w:val="65CD2033"/>
    <w:rsid w:val="65FA0249"/>
    <w:rsid w:val="666D31FD"/>
    <w:rsid w:val="66722485"/>
    <w:rsid w:val="66874EB1"/>
    <w:rsid w:val="669629B3"/>
    <w:rsid w:val="66A9677C"/>
    <w:rsid w:val="66D95FAE"/>
    <w:rsid w:val="674B3511"/>
    <w:rsid w:val="67FD0885"/>
    <w:rsid w:val="683A486A"/>
    <w:rsid w:val="684D4425"/>
    <w:rsid w:val="689F6F5A"/>
    <w:rsid w:val="68B43CCE"/>
    <w:rsid w:val="68C4251B"/>
    <w:rsid w:val="68CD5F46"/>
    <w:rsid w:val="6921067D"/>
    <w:rsid w:val="693C43C5"/>
    <w:rsid w:val="697003F6"/>
    <w:rsid w:val="698D4B9E"/>
    <w:rsid w:val="69AE10BF"/>
    <w:rsid w:val="69EE1721"/>
    <w:rsid w:val="69F96FA2"/>
    <w:rsid w:val="69FC5796"/>
    <w:rsid w:val="6A9B6662"/>
    <w:rsid w:val="6A9C39B4"/>
    <w:rsid w:val="6A9F2EEF"/>
    <w:rsid w:val="6AC949AB"/>
    <w:rsid w:val="6AFB7BE0"/>
    <w:rsid w:val="6B5553DF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EB7960"/>
    <w:rsid w:val="6E275861"/>
    <w:rsid w:val="6E7F3E7E"/>
    <w:rsid w:val="6EB25C10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1E94E13"/>
    <w:rsid w:val="71FE495A"/>
    <w:rsid w:val="72082DFB"/>
    <w:rsid w:val="72264CFC"/>
    <w:rsid w:val="7242489F"/>
    <w:rsid w:val="727479A1"/>
    <w:rsid w:val="728C53B6"/>
    <w:rsid w:val="72A44B61"/>
    <w:rsid w:val="72D40F49"/>
    <w:rsid w:val="72DC656D"/>
    <w:rsid w:val="7327447F"/>
    <w:rsid w:val="734556B6"/>
    <w:rsid w:val="735746FB"/>
    <w:rsid w:val="735F047E"/>
    <w:rsid w:val="736F1420"/>
    <w:rsid w:val="73753AB8"/>
    <w:rsid w:val="73803849"/>
    <w:rsid w:val="73B51DFF"/>
    <w:rsid w:val="74067F68"/>
    <w:rsid w:val="74240D93"/>
    <w:rsid w:val="749F7A19"/>
    <w:rsid w:val="74A16C77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ED5F25"/>
    <w:rsid w:val="762B3E22"/>
    <w:rsid w:val="76BF5A5B"/>
    <w:rsid w:val="772E401A"/>
    <w:rsid w:val="773A6574"/>
    <w:rsid w:val="773C23BA"/>
    <w:rsid w:val="77A57D62"/>
    <w:rsid w:val="77E9105D"/>
    <w:rsid w:val="77E93362"/>
    <w:rsid w:val="78C8203A"/>
    <w:rsid w:val="78D13421"/>
    <w:rsid w:val="78E65AF7"/>
    <w:rsid w:val="78EC3AF4"/>
    <w:rsid w:val="78ED6325"/>
    <w:rsid w:val="79001D89"/>
    <w:rsid w:val="79777F3E"/>
    <w:rsid w:val="79C1293C"/>
    <w:rsid w:val="79D31C5F"/>
    <w:rsid w:val="79DC7771"/>
    <w:rsid w:val="79DD7BDB"/>
    <w:rsid w:val="7A0C5670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610CF5"/>
    <w:rsid w:val="7C93642A"/>
    <w:rsid w:val="7C9E06C9"/>
    <w:rsid w:val="7D857646"/>
    <w:rsid w:val="7D89383E"/>
    <w:rsid w:val="7DA8280F"/>
    <w:rsid w:val="7E091DEA"/>
    <w:rsid w:val="7E29653A"/>
    <w:rsid w:val="7E520675"/>
    <w:rsid w:val="7E593F91"/>
    <w:rsid w:val="7E652D41"/>
    <w:rsid w:val="7E803425"/>
    <w:rsid w:val="7E8E7238"/>
    <w:rsid w:val="7E977CE3"/>
    <w:rsid w:val="7E9E55E7"/>
    <w:rsid w:val="7E9F6AF8"/>
    <w:rsid w:val="7F12527B"/>
    <w:rsid w:val="7F175F2C"/>
    <w:rsid w:val="7F384E23"/>
    <w:rsid w:val="7F9C320A"/>
    <w:rsid w:val="7FC13422"/>
    <w:rsid w:val="7F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11"/>
    </w:pPr>
    <w:rPr>
      <w:rFonts w:ascii="仿宋" w:hAnsi="仿宋" w:eastAsia="仿宋"/>
      <w:sz w:val="32"/>
      <w:szCs w:val="32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character" w:customStyle="1" w:styleId="17">
    <w:name w:val="15"/>
    <w:basedOn w:val="11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Char"/>
    <w:basedOn w:val="22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6</Pages>
  <Words>1782</Words>
  <Characters>2031</Characters>
  <Lines>11</Lines>
  <Paragraphs>3</Paragraphs>
  <TotalTime>6</TotalTime>
  <ScaleCrop>false</ScaleCrop>
  <LinksUpToDate>false</LinksUpToDate>
  <CharactersWithSpaces>2129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2020-10-06T06:33:00Z</dcterms:created>
  <dc:creator>admin</dc:creator>
  <cp:lastModifiedBy>WPS_1569721308</cp:lastModifiedBy>
  <cp:lastPrinted>2018-03-12T01:09:00Z</cp:lastPrinted>
  <dcterms:modified xsi:type="dcterms:W3CDTF">2020-10-29T05:42:21Z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